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3"/>
        <w:rPr>
          <w:sz w:val="24"/>
          <w:szCs w:val="24"/>
        </w:rPr>
      </w:pPr>
    </w:p>
    <w:p>
      <w:pPr>
        <w:pStyle w:val="style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MĚSÍČNÍ TEMATICKÝ </w:t>
      </w:r>
      <w:r>
        <w:rPr>
          <w:b/>
          <w:sz w:val="24"/>
          <w:szCs w:val="24"/>
        </w:rPr>
        <w:t>PLÁN – ŠD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         </w:t>
      </w:r>
    </w:p>
    <w:p>
      <w:pPr>
        <w:pStyle w:val="style0"/>
        <w:tabs>
          <w:tab w:val="left" w:leader="none" w:pos="7214"/>
        </w:tabs>
        <w:rPr>
          <w:sz w:val="24"/>
          <w:szCs w:val="24"/>
        </w:rPr>
      </w:pPr>
      <w:r>
        <w:rPr>
          <w:sz w:val="24"/>
          <w:szCs w:val="24"/>
        </w:rPr>
        <w:t>Měsíc: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Září</w:t>
      </w:r>
      <w:r>
        <w:rPr>
          <w:sz w:val="24"/>
          <w:szCs w:val="24"/>
        </w:rPr>
        <w:t xml:space="preserve"> 2022</w:t>
      </w:r>
      <w:r>
        <w:rPr>
          <w:sz w:val="24"/>
          <w:szCs w:val="24"/>
        </w:rPr>
        <w:tab/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>Téma: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Jsme jedna rodina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Vychovatelka: </w:t>
      </w:r>
      <w:r>
        <w:rPr>
          <w:sz w:val="24"/>
          <w:szCs w:val="24"/>
          <w:lang w:val="en-US"/>
        </w:rPr>
        <w:t>Skipor Yuliia</w:t>
      </w:r>
      <w:r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                                                    </w:t>
      </w:r>
      <w:r>
        <w:rPr>
          <w:sz w:val="24"/>
          <w:szCs w:val="24"/>
        </w:rPr>
        <w:t xml:space="preserve">                    </w:t>
      </w: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Oddělení: </w:t>
      </w:r>
      <w:r>
        <w:rPr>
          <w:sz w:val="24"/>
          <w:szCs w:val="24"/>
          <w:lang w:val="en-US"/>
        </w:rPr>
        <w:t>Zelena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družinka</w:t>
      </w:r>
    </w:p>
    <w:p>
      <w:pPr>
        <w:pStyle w:val="style0"/>
        <w:rPr>
          <w:sz w:val="24"/>
          <w:szCs w:val="24"/>
        </w:rPr>
      </w:pPr>
    </w:p>
    <w:p>
      <w:pPr>
        <w:pStyle w:val="style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Týden    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>Obsah</w:t>
      </w:r>
      <w:r>
        <w:rPr>
          <w:sz w:val="24"/>
          <w:szCs w:val="24"/>
        </w:rPr>
        <w:t xml:space="preserve"> výchovné činnosti  </w:t>
      </w:r>
      <w:r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Poznámky</w:t>
      </w:r>
      <w:r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                                             </w:t>
      </w:r>
      <w:r>
        <w:rPr>
          <w:sz w:val="24"/>
          <w:szCs w:val="24"/>
        </w:rPr>
        <w:t xml:space="preserve">    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5545"/>
        <w:gridCol w:w="2210"/>
      </w:tblGrid>
      <w:tr>
        <w:trPr>
          <w:trHeight w:val="1902" w:hRule="atLeast"/>
        </w:trPr>
        <w:tc>
          <w:tcPr>
            <w:tcW w:w="1957" w:type="dxa"/>
            <w:tcBorders/>
            <w:shd w:val="clear" w:color="auto" w:fill="auto"/>
          </w:tcPr>
          <w:p>
            <w:pPr>
              <w:pStyle w:val="style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– </w:t>
            </w: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545" w:type="dxa"/>
            <w:tcBorders/>
            <w:shd w:val="clear" w:color="auto" w:fill="auto"/>
          </w:tcPr>
          <w:p>
            <w:pPr>
              <w:pStyle w:val="style1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Uvítací týden</w:t>
            </w:r>
          </w:p>
          <w:p>
            <w:pPr>
              <w:pStyle w:val="style15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Seznamuje se s novými kamarády</w:t>
            </w:r>
          </w:p>
          <w:p>
            <w:pPr>
              <w:pStyle w:val="style15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Osvojuje si školní řád a řád školní družiny</w:t>
            </w:r>
          </w:p>
          <w:p>
            <w:pPr>
              <w:pStyle w:val="style15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Zvládá sebeobsluhu a slušné chován</w:t>
            </w:r>
            <w:r>
              <w:rPr>
                <w:rFonts w:ascii="Times New Roman" w:hAnsi="Times New Roman"/>
                <w:sz w:val="24"/>
                <w:szCs w:val="24"/>
              </w:rPr>
              <w:t>í</w:t>
            </w:r>
          </w:p>
          <w:p>
            <w:pPr>
              <w:pStyle w:val="style15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Komunikuje s ostatními, vypravuje zážitky z prázdnin</w:t>
            </w:r>
          </w:p>
        </w:tc>
        <w:tc>
          <w:tcPr>
            <w:tcW w:w="221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</w:p>
        </w:tc>
      </w:tr>
      <w:tr>
        <w:tblPrEx/>
        <w:trPr>
          <w:trHeight w:val="2132" w:hRule="atLeast"/>
        </w:trPr>
        <w:tc>
          <w:tcPr>
            <w:tcW w:w="1957" w:type="dxa"/>
            <w:tcBorders/>
            <w:shd w:val="clear" w:color="auto" w:fill="auto"/>
          </w:tcPr>
          <w:p>
            <w:pPr>
              <w:pStyle w:val="style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– </w:t>
            </w:r>
            <w:r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. 2022</w:t>
            </w:r>
          </w:p>
          <w:p>
            <w:pPr>
              <w:pStyle w:val="style0"/>
              <w:rPr>
                <w:sz w:val="24"/>
                <w:szCs w:val="24"/>
              </w:rPr>
            </w:pPr>
          </w:p>
          <w:p>
            <w:pPr>
              <w:pStyle w:val="style0"/>
              <w:rPr>
                <w:b/>
                <w:sz w:val="24"/>
                <w:szCs w:val="24"/>
              </w:rPr>
            </w:pPr>
          </w:p>
        </w:tc>
        <w:tc>
          <w:tcPr>
            <w:tcW w:w="5545" w:type="dxa"/>
            <w:tcBorders/>
            <w:shd w:val="clear" w:color="auto" w:fill="auto"/>
          </w:tcPr>
          <w:p>
            <w:pPr>
              <w:pStyle w:val="style1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Týden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poznání</w:t>
            </w:r>
          </w:p>
          <w:p>
            <w:pPr>
              <w:pStyle w:val="style15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Obohacuje se o nové poznatky</w:t>
            </w:r>
          </w:p>
          <w:p>
            <w:pPr>
              <w:pStyle w:val="style15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Postupně se seznamuje s vnitřním řádem školní družiny</w:t>
            </w:r>
          </w:p>
          <w:p>
            <w:pPr>
              <w:pStyle w:val="style15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Vytváří kamarádské vztahy, komunikuje s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ostatními</w:t>
            </w:r>
          </w:p>
          <w:p>
            <w:pPr>
              <w:pStyle w:val="style157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Využívá své vyjadřovací schopnosti</w:t>
            </w:r>
          </w:p>
          <w:p>
            <w:pPr>
              <w:pStyle w:val="style157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tcBorders/>
            <w:shd w:val="clear" w:color="auto" w:fill="auto"/>
          </w:tcPr>
          <w:p>
            <w:pPr>
              <w:pStyle w:val="style0"/>
              <w:rPr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</w:p>
        </w:tc>
      </w:tr>
      <w:tr>
        <w:tblPrEx/>
        <w:trPr>
          <w:trHeight w:val="2125" w:hRule="atLeast"/>
        </w:trPr>
        <w:tc>
          <w:tcPr>
            <w:tcW w:w="1957" w:type="dxa"/>
            <w:tcBorders/>
            <w:shd w:val="clear" w:color="auto" w:fill="auto"/>
          </w:tcPr>
          <w:p>
            <w:pPr>
              <w:pStyle w:val="style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 xml:space="preserve">– </w:t>
            </w:r>
            <w:r>
              <w:rPr>
                <w:b/>
                <w:sz w:val="24"/>
                <w:szCs w:val="24"/>
              </w:rPr>
              <w:t>16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2</w:t>
            </w:r>
          </w:p>
          <w:p>
            <w:pPr>
              <w:pStyle w:val="style0"/>
              <w:rPr>
                <w:sz w:val="24"/>
                <w:szCs w:val="24"/>
              </w:rPr>
            </w:pPr>
          </w:p>
          <w:p>
            <w:pPr>
              <w:pStyle w:val="style0"/>
              <w:rPr>
                <w:sz w:val="24"/>
                <w:szCs w:val="24"/>
              </w:rPr>
            </w:pPr>
          </w:p>
          <w:p>
            <w:pPr>
              <w:pStyle w:val="style0"/>
              <w:rPr>
                <w:sz w:val="24"/>
                <w:szCs w:val="24"/>
              </w:rPr>
            </w:pPr>
          </w:p>
        </w:tc>
        <w:tc>
          <w:tcPr>
            <w:tcW w:w="5545" w:type="dxa"/>
            <w:tcBorders/>
            <w:shd w:val="clear" w:color="auto" w:fill="auto"/>
          </w:tcPr>
          <w:p>
            <w:pPr>
              <w:pStyle w:val="style157"/>
              <w:tabs>
                <w:tab w:val="left" w:leader="none" w:pos="158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Týden pravidel</w:t>
            </w:r>
          </w:p>
          <w:p>
            <w:pPr>
              <w:pStyle w:val="style157"/>
              <w:numPr>
                <w:ilvl w:val="0"/>
                <w:numId w:val="39"/>
              </w:numPr>
              <w:tabs>
                <w:tab w:val="left" w:leader="none" w:pos="15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Společně s ostatními vytváří družinková pravidla</w:t>
            </w:r>
          </w:p>
          <w:p>
            <w:pPr>
              <w:pStyle w:val="style157"/>
              <w:numPr>
                <w:ilvl w:val="0"/>
                <w:numId w:val="39"/>
              </w:numPr>
              <w:tabs>
                <w:tab w:val="left" w:leader="none" w:pos="15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Orientuje se v okolí školy</w:t>
            </w:r>
          </w:p>
          <w:p>
            <w:pPr>
              <w:pStyle w:val="style157"/>
              <w:numPr>
                <w:ilvl w:val="0"/>
                <w:numId w:val="39"/>
              </w:numPr>
              <w:tabs>
                <w:tab w:val="left" w:leader="none" w:pos="15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Aktivně se zapojuje do pohybových činností</w:t>
            </w:r>
          </w:p>
          <w:p>
            <w:pPr>
              <w:pStyle w:val="style157"/>
              <w:numPr>
                <w:ilvl w:val="0"/>
                <w:numId w:val="39"/>
              </w:numPr>
              <w:tabs>
                <w:tab w:val="left" w:leader="none" w:pos="15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Dbá na svoji bezpečnost při hře</w:t>
            </w:r>
          </w:p>
          <w:p>
            <w:pPr>
              <w:pStyle w:val="style157"/>
              <w:numPr>
                <w:ilvl w:val="0"/>
                <w:numId w:val="39"/>
              </w:numPr>
              <w:tabs>
                <w:tab w:val="left" w:leader="none" w:pos="15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Upevňuje hygienické </w:t>
            </w:r>
            <w:r>
              <w:rPr>
                <w:rFonts w:ascii="Times New Roman" w:hAnsi="Times New Roman"/>
                <w:sz w:val="24"/>
                <w:szCs w:val="24"/>
              </w:rPr>
              <w:t>návyky</w:t>
            </w:r>
          </w:p>
        </w:tc>
        <w:tc>
          <w:tcPr>
            <w:tcW w:w="221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</w:p>
        </w:tc>
      </w:tr>
      <w:tr>
        <w:tblPrEx/>
        <w:trPr>
          <w:trHeight w:val="2098" w:hRule="atLeast"/>
        </w:trPr>
        <w:tc>
          <w:tcPr>
            <w:tcW w:w="1957" w:type="dxa"/>
            <w:tcBorders/>
            <w:shd w:val="clear" w:color="auto" w:fill="auto"/>
          </w:tcPr>
          <w:p>
            <w:pPr>
              <w:pStyle w:val="style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23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2</w:t>
            </w:r>
          </w:p>
          <w:p>
            <w:pPr>
              <w:pStyle w:val="style0"/>
              <w:rPr>
                <w:b/>
                <w:sz w:val="24"/>
                <w:szCs w:val="24"/>
              </w:rPr>
            </w:pPr>
          </w:p>
          <w:p>
            <w:pPr>
              <w:pStyle w:val="style0"/>
              <w:rPr>
                <w:b/>
                <w:sz w:val="24"/>
                <w:szCs w:val="24"/>
              </w:rPr>
            </w:pPr>
          </w:p>
          <w:p>
            <w:pPr>
              <w:pStyle w:val="style0"/>
              <w:rPr>
                <w:b/>
                <w:sz w:val="24"/>
                <w:szCs w:val="24"/>
              </w:rPr>
            </w:pPr>
          </w:p>
          <w:p>
            <w:pPr>
              <w:pStyle w:val="style0"/>
              <w:rPr>
                <w:b/>
                <w:sz w:val="24"/>
                <w:szCs w:val="24"/>
              </w:rPr>
            </w:pPr>
          </w:p>
          <w:p>
            <w:pPr>
              <w:pStyle w:val="style0"/>
              <w:rPr>
                <w:b/>
                <w:sz w:val="24"/>
                <w:szCs w:val="24"/>
              </w:rPr>
            </w:pPr>
          </w:p>
          <w:p>
            <w:pPr>
              <w:pStyle w:val="style0"/>
              <w:rPr>
                <w:sz w:val="24"/>
                <w:szCs w:val="24"/>
              </w:rPr>
            </w:pPr>
          </w:p>
        </w:tc>
        <w:tc>
          <w:tcPr>
            <w:tcW w:w="5545" w:type="dxa"/>
            <w:tcBorders/>
            <w:shd w:val="clear" w:color="auto" w:fill="auto"/>
          </w:tcPr>
          <w:p>
            <w:pPr>
              <w:pStyle w:val="style157"/>
              <w:tabs>
                <w:tab w:val="left" w:leader="none" w:pos="1583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Sportovní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týden</w:t>
            </w:r>
          </w:p>
          <w:p>
            <w:pPr>
              <w:pStyle w:val="style179"/>
              <w:numPr>
                <w:ilvl w:val="0"/>
                <w:numId w:val="37"/>
              </w:numPr>
              <w:tabs>
                <w:tab w:val="left" w:leader="none" w:pos="1305"/>
              </w:tabs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Zapojuje se do sportovních aktivit</w:t>
            </w:r>
          </w:p>
          <w:p>
            <w:pPr>
              <w:pStyle w:val="style179"/>
              <w:numPr>
                <w:ilvl w:val="0"/>
                <w:numId w:val="37"/>
              </w:numPr>
              <w:tabs>
                <w:tab w:val="left" w:leader="none" w:pos="1305"/>
              </w:tabs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Využívá herní prvky na hřišti, sportuje na čerstvém vzduchu</w:t>
            </w:r>
          </w:p>
          <w:p>
            <w:pPr>
              <w:pStyle w:val="style179"/>
              <w:numPr>
                <w:ilvl w:val="0"/>
                <w:numId w:val="37"/>
              </w:numPr>
              <w:tabs>
                <w:tab w:val="left" w:leader="none" w:pos="1305"/>
              </w:tabs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Haje fair-play</w:t>
            </w:r>
          </w:p>
          <w:p>
            <w:pPr>
              <w:pStyle w:val="style157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Soutěží, sportuje, dodržuje pravidla soutěže</w:t>
            </w:r>
          </w:p>
          <w:p>
            <w:pPr>
              <w:pStyle w:val="style157"/>
              <w:numPr>
                <w:ilvl w:val="0"/>
                <w:numId w:val="37"/>
              </w:numPr>
              <w:tabs>
                <w:tab w:val="left" w:leader="none" w:pos="158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Dodržuje pitný režim</w:t>
            </w:r>
          </w:p>
        </w:tc>
        <w:tc>
          <w:tcPr>
            <w:tcW w:w="2210" w:type="dxa"/>
            <w:tcBorders/>
            <w:shd w:val="clear" w:color="auto" w:fill="auto"/>
          </w:tcPr>
          <w:p>
            <w:pPr>
              <w:pStyle w:val="style0"/>
              <w:rPr>
                <w:sz w:val="24"/>
                <w:szCs w:val="24"/>
              </w:rPr>
            </w:pPr>
          </w:p>
          <w:p>
            <w:pPr>
              <w:pStyle w:val="style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</w:tc>
      </w:tr>
      <w:tr>
        <w:tblPrEx/>
        <w:trPr>
          <w:trHeight w:val="2255" w:hRule="atLeast"/>
        </w:trPr>
        <w:tc>
          <w:tcPr>
            <w:tcW w:w="1957" w:type="dxa"/>
            <w:tcBorders/>
            <w:shd w:val="clear" w:color="auto" w:fill="auto"/>
          </w:tcPr>
          <w:p>
            <w:pPr>
              <w:pStyle w:val="style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  <w:r>
              <w:rPr>
                <w:b/>
                <w:sz w:val="24"/>
                <w:szCs w:val="24"/>
              </w:rPr>
              <w:t>. –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.2022</w:t>
            </w:r>
          </w:p>
        </w:tc>
        <w:tc>
          <w:tcPr>
            <w:tcW w:w="5545" w:type="dxa"/>
            <w:tcBorders/>
            <w:shd w:val="clear" w:color="auto" w:fill="auto"/>
          </w:tcPr>
          <w:p>
            <w:pPr>
              <w:pStyle w:val="style1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Rodinný týden</w:t>
            </w:r>
          </w:p>
          <w:p>
            <w:pPr>
              <w:pStyle w:val="style179"/>
              <w:numPr>
                <w:ilvl w:val="0"/>
                <w:numId w:val="37"/>
              </w:numPr>
              <w:tabs>
                <w:tab w:val="left" w:leader="none" w:pos="1305"/>
              </w:tabs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Uvědomuje si důležitost rodiny a jejich členů</w:t>
            </w:r>
          </w:p>
          <w:p>
            <w:pPr>
              <w:pStyle w:val="style179"/>
              <w:numPr>
                <w:ilvl w:val="0"/>
                <w:numId w:val="37"/>
              </w:numPr>
              <w:tabs>
                <w:tab w:val="left" w:leader="none" w:pos="1305"/>
              </w:tabs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Respektuje a posiluje sociální cítění</w:t>
            </w:r>
          </w:p>
          <w:p>
            <w:pPr>
              <w:pStyle w:val="style179"/>
              <w:numPr>
                <w:ilvl w:val="0"/>
                <w:numId w:val="37"/>
              </w:numPr>
              <w:tabs>
                <w:tab w:val="left" w:leader="none" w:pos="1305"/>
              </w:tabs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Rozvíjí svou slovní zásobu, odbourává případný ostych</w:t>
            </w:r>
          </w:p>
          <w:p>
            <w:pPr>
              <w:pStyle w:val="style179"/>
              <w:numPr>
                <w:ilvl w:val="0"/>
                <w:numId w:val="37"/>
              </w:numPr>
              <w:tabs>
                <w:tab w:val="left" w:leader="none" w:pos="1305"/>
              </w:tabs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Upevňuje pravidla slušného chování a stolování</w:t>
            </w:r>
          </w:p>
          <w:p>
            <w:pPr>
              <w:pStyle w:val="style179"/>
              <w:numPr>
                <w:ilvl w:val="0"/>
                <w:numId w:val="37"/>
              </w:numPr>
              <w:tabs>
                <w:tab w:val="left" w:leader="none" w:pos="1305"/>
              </w:tabs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Rozvíjí tvořivost a pracovní dovednosti</w:t>
            </w:r>
            <w:bookmarkStart w:id="0" w:name="_GoBack"/>
            <w:bookmarkEnd w:id="0"/>
          </w:p>
        </w:tc>
        <w:tc>
          <w:tcPr>
            <w:tcW w:w="221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28.9.2022</w:t>
            </w:r>
            <w:r>
              <w:rPr>
                <w:b/>
                <w:sz w:val="24"/>
                <w:szCs w:val="24"/>
              </w:rPr>
              <w:t xml:space="preserve"> státní svátek</w:t>
            </w:r>
          </w:p>
        </w:tc>
      </w:tr>
    </w:tbl>
    <w:p>
      <w:pPr>
        <w:pStyle w:val="style0"/>
        <w:tabs>
          <w:tab w:val="left" w:leader="none" w:pos="1108"/>
        </w:tabs>
        <w:rPr>
          <w:sz w:val="24"/>
          <w:szCs w:val="24"/>
        </w:rPr>
      </w:pPr>
    </w:p>
    <w:p>
      <w:pPr>
        <w:pStyle w:val="style0"/>
        <w:tabs>
          <w:tab w:val="left" w:leader="none" w:pos="1108"/>
        </w:tabs>
        <w:rPr>
          <w:sz w:val="24"/>
          <w:szCs w:val="24"/>
        </w:rPr>
      </w:pPr>
    </w:p>
    <w:sectPr>
      <w:headerReference w:type="default" r:id="rId2"/>
      <w:pgSz w:w="11906" w:h="16838" w:orient="portrait"/>
      <w:pgMar w:top="340" w:right="1021" w:bottom="794" w:left="1418" w:header="850" w:footer="624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5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002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overflowPunct w:val="false"/>
      <w:autoSpaceDE w:val="false"/>
      <w:autoSpaceDN w:val="false"/>
      <w:adjustRightInd w:val="false"/>
      <w:jc w:val="center"/>
      <w:textAlignment w:val="baseline"/>
      <w:rPr>
        <w:b/>
        <w:bCs/>
        <w:i/>
        <w:iCs/>
      </w:rPr>
    </w:pPr>
  </w:p>
  <w:p>
    <w:pPr>
      <w:pStyle w:val="style0"/>
      <w:overflowPunct w:val="false"/>
      <w:autoSpaceDE w:val="false"/>
      <w:autoSpaceDN w:val="false"/>
      <w:adjustRightInd w:val="false"/>
      <w:jc w:val="center"/>
      <w:textAlignment w:val="baseline"/>
      <w:rPr>
        <w:b/>
        <w:bCs/>
        <w:i/>
        <w:iCs/>
      </w:rPr>
    </w:pPr>
    <w:r>
      <w:rPr>
        <w:noProof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-367858</wp:posOffset>
          </wp:positionH>
          <wp:positionV relativeFrom="paragraph">
            <wp:posOffset>-474345</wp:posOffset>
          </wp:positionV>
          <wp:extent cx="1092835" cy="882650"/>
          <wp:effectExtent l="0" t="0" r="0" b="0"/>
          <wp:wrapNone/>
          <wp:docPr id="4097" name="Obrázek 1" descr="S:\Vedeni\Logo nové\logotyp-bez-firmy.jpg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092835" cy="882650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/>
        <w:iCs/>
      </w:rPr>
      <w:t>Základní škola a Mateřská škola Litvínov,</w:t>
    </w:r>
    <w:r>
      <w:rPr>
        <w:b/>
        <w:bCs/>
        <w:i/>
        <w:iCs/>
      </w:rPr>
      <w:t xml:space="preserve"> </w:t>
    </w:r>
    <w:r>
      <w:rPr>
        <w:b/>
        <w:bCs/>
        <w:i/>
        <w:iCs/>
      </w:rPr>
      <w:t>Podkrušnohorská 1589, okres Most</w:t>
    </w:r>
    <w:r>
      <w:rPr>
        <w:b/>
        <w:bCs/>
        <w:i/>
        <w:iCs/>
      </w:rPr>
      <w:tab/>
    </w:r>
    <w:r>
      <w:rPr>
        <w:b/>
        <w:bCs/>
        <w:i/>
        <w:iCs/>
      </w:rPr>
      <w:br/>
    </w:r>
    <w:r>
      <w:rPr>
        <w:b/>
        <w:bCs/>
        <w:i/>
        <w:iCs/>
      </w:rPr>
      <w:t>se sídlem: Podkrušnohorská 1589, 436 01 Litvínov</w:t>
    </w:r>
  </w:p>
  <w:p>
    <w:pPr>
      <w:pStyle w:val="style0"/>
      <w:overflowPunct w:val="false"/>
      <w:autoSpaceDE w:val="false"/>
      <w:autoSpaceDN w:val="false"/>
      <w:adjustRightInd w:val="false"/>
      <w:jc w:val="center"/>
      <w:textAlignment w:val="baseline"/>
      <w:rPr>
        <w:b/>
        <w:bCs/>
        <w:i/>
        <w:iCs/>
      </w:rPr>
    </w:pPr>
  </w:p>
  <w:p>
    <w:pPr>
      <w:pStyle w:val="style0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leader="none" w:pos="0"/>
        </w:tabs>
        <w:ind w:left="0" w:firstLine="0"/>
      </w:pPr>
    </w:lvl>
  </w:abstractNum>
  <w:abstractNum w:abstractNumId="1">
    <w:nsid w:val="00000001"/>
    <w:multiLevelType w:val="hybridMultilevel"/>
    <w:tmpl w:val="7ED8BA1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5940480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479C96D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BAFAA73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AE8E1CB2"/>
    <w:lvl w:ilvl="0" w:tplc="190EA71E">
      <w:start w:val="3"/>
      <w:numFmt w:val="bullet"/>
      <w:lvlText w:val="-"/>
      <w:lvlJc w:val="left"/>
      <w:pPr>
        <w:ind w:left="720" w:hanging="360"/>
      </w:pPr>
      <w:rPr>
        <w:rFonts w:ascii="Times New Roman" w:cs="Times New Roman" w:eastAsia="Calibri" w:hAnsi="Times New Roman" w:hint="default"/>
        <w:b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5EE6FB4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48E6F68A"/>
    <w:lvl w:ilvl="0" w:tplc="C3CE4AF0">
      <w:start w:val="31"/>
      <w:numFmt w:val="bullet"/>
      <w:lvlText w:val="-"/>
      <w:lvlJc w:val="left"/>
      <w:pPr>
        <w:ind w:left="720" w:hanging="360"/>
      </w:pPr>
      <w:rPr>
        <w:rFonts w:ascii="Times New Roman" w:cs="Times New Roman" w:eastAsia="Calibri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E4924F72"/>
    <w:lvl w:ilvl="0" w:tplc="6338AFBA">
      <w:start w:val="31"/>
      <w:numFmt w:val="bullet"/>
      <w:lvlText w:val="-"/>
      <w:lvlJc w:val="left"/>
      <w:pPr>
        <w:ind w:left="720" w:hanging="360"/>
      </w:pPr>
      <w:rPr>
        <w:rFonts w:ascii="Times New Roman" w:cs="Times New Roman" w:eastAsia="Calibri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1F9E4490"/>
    <w:lvl w:ilvl="0" w:tplc="DF24E5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7518942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D4428FBC"/>
    <w:lvl w:ilvl="0" w:tplc="9C08532A">
      <w:start w:val="31"/>
      <w:numFmt w:val="bullet"/>
      <w:lvlText w:val="-"/>
      <w:lvlJc w:val="left"/>
      <w:pPr>
        <w:ind w:left="720" w:hanging="360"/>
      </w:pPr>
      <w:rPr>
        <w:rFonts w:ascii="Times New Roman" w:cs="Times New Roman" w:eastAsia="Calibri" w:hAnsi="Times New Roman" w:hint="default"/>
        <w:b w:val="false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49440A6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249A8C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5C9A18D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3800B156"/>
    <w:lvl w:ilvl="0" w:tplc="95B4C5A8">
      <w:start w:val="1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4806789A"/>
    <w:lvl w:ilvl="0" w:tplc="00F8685E">
      <w:start w:val="3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 w:hint="default"/>
        <w:color w:val="auto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E584895A"/>
    <w:lvl w:ilvl="0" w:tplc="DEE21604">
      <w:start w:val="3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1326DD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13"/>
    <w:multiLevelType w:val="hybridMultilevel"/>
    <w:tmpl w:val="91225F3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3BF81A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B8CCEAC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0000016"/>
    <w:multiLevelType w:val="hybridMultilevel"/>
    <w:tmpl w:val="2D42B73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2B02465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4620928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0000019"/>
    <w:multiLevelType w:val="hybridMultilevel"/>
    <w:tmpl w:val="4AB4284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000001A"/>
    <w:multiLevelType w:val="hybridMultilevel"/>
    <w:tmpl w:val="DA7A1EE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C32C1108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0000001C"/>
    <w:multiLevelType w:val="hybridMultilevel"/>
    <w:tmpl w:val="13BEAA1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000001D"/>
    <w:multiLevelType w:val="hybridMultilevel"/>
    <w:tmpl w:val="E37A813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C2A01A46"/>
    <w:lvl w:ilvl="0" w:tplc="FA506DA0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  <w:b/>
        <w:color w:val="000000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7CC05A4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0000020"/>
    <w:multiLevelType w:val="hybridMultilevel"/>
    <w:tmpl w:val="F3F6CD7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0000021"/>
    <w:multiLevelType w:val="hybridMultilevel"/>
    <w:tmpl w:val="42B2158A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00000022"/>
    <w:multiLevelType w:val="hybridMultilevel"/>
    <w:tmpl w:val="08FE514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0000023"/>
    <w:multiLevelType w:val="hybridMultilevel"/>
    <w:tmpl w:val="9B220FBA"/>
    <w:lvl w:ilvl="0" w:tplc="A0CAE7D6">
      <w:start w:val="1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D5024E7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69A687B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3D3A63B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0000027"/>
    <w:multiLevelType w:val="hybridMultilevel"/>
    <w:tmpl w:val="A79ECCF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0000028"/>
    <w:multiLevelType w:val="hybridMultilevel"/>
    <w:tmpl w:val="70D87B4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5"/>
  </w:num>
  <w:num w:numId="4">
    <w:abstractNumId w:val="16"/>
  </w:num>
  <w:num w:numId="5">
    <w:abstractNumId w:val="35"/>
  </w:num>
  <w:num w:numId="6">
    <w:abstractNumId w:val="15"/>
  </w:num>
  <w:num w:numId="7">
    <w:abstractNumId w:val="11"/>
  </w:num>
  <w:num w:numId="8">
    <w:abstractNumId w:val="7"/>
  </w:num>
  <w:num w:numId="9">
    <w:abstractNumId w:val="8"/>
  </w:num>
  <w:num w:numId="10">
    <w:abstractNumId w:val="12"/>
  </w:num>
  <w:num w:numId="11">
    <w:abstractNumId w:val="18"/>
  </w:num>
  <w:num w:numId="12">
    <w:abstractNumId w:val="20"/>
  </w:num>
  <w:num w:numId="13">
    <w:abstractNumId w:val="27"/>
  </w:num>
  <w:num w:numId="14">
    <w:abstractNumId w:val="1"/>
  </w:num>
  <w:num w:numId="15">
    <w:abstractNumId w:val="39"/>
  </w:num>
  <w:num w:numId="16">
    <w:abstractNumId w:val="32"/>
  </w:num>
  <w:num w:numId="17">
    <w:abstractNumId w:val="26"/>
  </w:num>
  <w:num w:numId="18">
    <w:abstractNumId w:val="9"/>
  </w:num>
  <w:num w:numId="19">
    <w:abstractNumId w:val="34"/>
  </w:num>
  <w:num w:numId="20">
    <w:abstractNumId w:val="23"/>
  </w:num>
  <w:num w:numId="21">
    <w:abstractNumId w:val="29"/>
  </w:num>
  <w:num w:numId="22">
    <w:abstractNumId w:val="38"/>
  </w:num>
  <w:num w:numId="23">
    <w:abstractNumId w:val="22"/>
  </w:num>
  <w:num w:numId="24">
    <w:abstractNumId w:val="25"/>
  </w:num>
  <w:num w:numId="25">
    <w:abstractNumId w:val="30"/>
  </w:num>
  <w:num w:numId="26">
    <w:abstractNumId w:val="6"/>
  </w:num>
  <w:num w:numId="27">
    <w:abstractNumId w:val="3"/>
  </w:num>
  <w:num w:numId="28">
    <w:abstractNumId w:val="4"/>
  </w:num>
  <w:num w:numId="29">
    <w:abstractNumId w:val="36"/>
  </w:num>
  <w:num w:numId="30">
    <w:abstractNumId w:val="33"/>
  </w:num>
  <w:num w:numId="31">
    <w:abstractNumId w:val="10"/>
  </w:num>
  <w:num w:numId="32">
    <w:abstractNumId w:val="19"/>
  </w:num>
  <w:num w:numId="33">
    <w:abstractNumId w:val="31"/>
  </w:num>
  <w:num w:numId="34">
    <w:abstractNumId w:val="40"/>
  </w:num>
  <w:num w:numId="35">
    <w:abstractNumId w:val="21"/>
  </w:num>
  <w:num w:numId="36">
    <w:abstractNumId w:val="14"/>
  </w:num>
  <w:num w:numId="37">
    <w:abstractNumId w:val="2"/>
  </w:num>
  <w:num w:numId="38">
    <w:abstractNumId w:val="24"/>
  </w:num>
  <w:num w:numId="39">
    <w:abstractNumId w:val="28"/>
  </w:num>
  <w:num w:numId="40">
    <w:abstractNumId w:val="3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08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cs-CZ" w:bidi="ar-SA" w:eastAsia="cs-CZ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qFormat/>
    <w:pPr>
      <w:keepNext/>
      <w:outlineLvl w:val="0"/>
    </w:pPr>
    <w:rPr>
      <w:i/>
      <w:sz w:val="28"/>
    </w:rPr>
  </w:style>
  <w:style w:type="paragraph" w:styleId="style2">
    <w:name w:val="heading 2"/>
    <w:basedOn w:val="style0"/>
    <w:next w:val="style0"/>
    <w:qFormat/>
    <w:pPr>
      <w:keepNext/>
      <w:outlineLvl w:val="1"/>
    </w:pPr>
    <w:rPr>
      <w:b/>
      <w:i/>
      <w:sz w:val="28"/>
    </w:rPr>
  </w:style>
  <w:style w:type="paragraph" w:styleId="style3">
    <w:name w:val="heading 3"/>
    <w:basedOn w:val="style0"/>
    <w:next w:val="style0"/>
    <w:qFormat/>
    <w:pPr>
      <w:keepNext/>
      <w:outlineLvl w:val="2"/>
    </w:pPr>
    <w:rPr>
      <w:b/>
      <w:sz w:val="28"/>
    </w:rPr>
  </w:style>
  <w:style w:type="paragraph" w:styleId="style4">
    <w:name w:val="heading 4"/>
    <w:basedOn w:val="style0"/>
    <w:next w:val="style0"/>
    <w:qFormat/>
    <w:pPr>
      <w:keepNext/>
      <w:outlineLvl w:val="3"/>
    </w:pPr>
    <w:rPr>
      <w:b/>
      <w:sz w:val="24"/>
    </w:rPr>
  </w:style>
  <w:style w:type="paragraph" w:styleId="style5">
    <w:name w:val="heading 5"/>
    <w:basedOn w:val="style0"/>
    <w:next w:val="style0"/>
    <w:qFormat/>
    <w:pPr>
      <w:keepNext/>
      <w:jc w:val="center"/>
      <w:outlineLvl w:val="4"/>
    </w:pPr>
    <w:rPr>
      <w:sz w:val="24"/>
    </w:rPr>
  </w:style>
  <w:style w:type="paragraph" w:styleId="style6">
    <w:name w:val="heading 6"/>
    <w:basedOn w:val="style0"/>
    <w:next w:val="style0"/>
    <w:qFormat/>
    <w:pPr>
      <w:keepNext/>
      <w:jc w:val="center"/>
      <w:outlineLvl w:val="5"/>
    </w:pPr>
    <w:rPr>
      <w:b/>
      <w:sz w:val="24"/>
    </w:rPr>
  </w:style>
  <w:style w:type="paragraph" w:styleId="style7">
    <w:name w:val="heading 7"/>
    <w:basedOn w:val="style0"/>
    <w:next w:val="style0"/>
    <w:qFormat/>
    <w:pPr>
      <w:keepNext/>
      <w:outlineLvl w:val="6"/>
    </w:pPr>
    <w:rPr>
      <w:sz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66">
    <w:name w:val="Body Text"/>
    <w:basedOn w:val="style0"/>
    <w:next w:val="style66"/>
    <w:pPr/>
    <w:rPr>
      <w:sz w:val="24"/>
    </w:rPr>
  </w:style>
  <w:style w:type="character" w:styleId="style85">
    <w:name w:val="Hyperlink"/>
    <w:next w:val="style85"/>
    <w:rPr>
      <w:color w:val="0000ff"/>
      <w:u w:val="single"/>
    </w:rPr>
  </w:style>
  <w:style w:type="paragraph" w:styleId="style153">
    <w:name w:val="Balloon Text"/>
    <w:basedOn w:val="style0"/>
    <w:next w:val="style153"/>
    <w:pPr/>
    <w:rPr>
      <w:rFonts w:ascii="Tahoma" w:cs="Tahoma" w:hAnsi="Tahoma"/>
      <w:sz w:val="16"/>
      <w:szCs w:val="16"/>
    </w:rPr>
  </w:style>
  <w:style w:type="paragraph" w:styleId="style89">
    <w:name w:val="Document Map"/>
    <w:basedOn w:val="style0"/>
    <w:next w:val="style89"/>
    <w:pPr>
      <w:shd w:val="clear" w:color="auto" w:fill="000080"/>
    </w:pPr>
    <w:rPr>
      <w:rFonts w:ascii="Tahoma" w:cs="Tahoma" w:hAnsi="Tahoma"/>
    </w:rPr>
  </w:style>
  <w:style w:type="paragraph" w:styleId="style31">
    <w:name w:val="header"/>
    <w:basedOn w:val="style0"/>
    <w:next w:val="style31"/>
    <w:pPr>
      <w:tabs>
        <w:tab w:val="center" w:leader="none" w:pos="4536"/>
        <w:tab w:val="right" w:leader="none" w:pos="9072"/>
      </w:tabs>
    </w:pPr>
    <w:rPr/>
  </w:style>
  <w:style w:type="paragraph" w:styleId="style32">
    <w:name w:val="footer"/>
    <w:basedOn w:val="style0"/>
    <w:next w:val="style32"/>
    <w:pPr>
      <w:tabs>
        <w:tab w:val="center" w:leader="none" w:pos="4536"/>
        <w:tab w:val="right" w:leader="none" w:pos="9072"/>
      </w:tabs>
    </w:pPr>
    <w:r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>
      <w:sz w:val="24"/>
      <w:szCs w:val="24"/>
    </w:rPr>
  </w:style>
  <w:style w:type="paragraph" w:customStyle="1" w:styleId="style4097">
    <w:name w:val="Ivan"/>
    <w:basedOn w:val="style0"/>
    <w:next w:val="style4097"/>
    <w:pPr>
      <w:overflowPunct w:val="false"/>
      <w:autoSpaceDE w:val="false"/>
      <w:autoSpaceDN w:val="false"/>
      <w:adjustRightInd w:val="false"/>
      <w:spacing w:lineRule="atLeast" w:line="360"/>
      <w:jc w:val="both"/>
    </w:pPr>
    <w:rPr>
      <w:spacing w:val="20"/>
      <w:sz w:val="24"/>
    </w:rPr>
  </w:style>
  <w:style w:type="table" w:styleId="style154">
    <w:name w:val="Table Grid"/>
    <w:basedOn w:val="style105"/>
    <w:next w:val="style154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7">
    <w:name w:val="No Spacing"/>
    <w:next w:val="style157"/>
    <w:link w:val="style4098"/>
    <w:qFormat/>
    <w:uiPriority w:val="1"/>
    <w:pPr/>
    <w:rPr>
      <w:rFonts w:ascii="Calibri" w:eastAsia="Calibri" w:hAnsi="Calibri"/>
      <w:sz w:val="22"/>
      <w:szCs w:val="22"/>
      <w:lang w:eastAsia="en-US"/>
    </w:rPr>
  </w:style>
  <w:style w:type="character" w:customStyle="1" w:styleId="style4098">
    <w:name w:val="Bez mezer Char"/>
    <w:next w:val="style4098"/>
    <w:link w:val="style157"/>
    <w:uiPriority w:val="1"/>
    <w:rPr>
      <w:rFonts w:ascii="Calibri" w:eastAsia="Calibri" w:hAnsi="Calibri"/>
      <w:sz w:val="22"/>
      <w:szCs w:val="22"/>
      <w:lang w:eastAsia="en-US"/>
    </w:rPr>
  </w:style>
  <w:style w:type="paragraph" w:customStyle="1" w:styleId="style4099">
    <w:name w:val="Prostý text1"/>
    <w:basedOn w:val="style0"/>
    <w:next w:val="style4099"/>
    <w:pPr>
      <w:suppressAutoHyphens/>
      <w:overflowPunct w:val="false"/>
      <w:autoSpaceDE w:val="false"/>
      <w:textAlignment w:val="baseline"/>
    </w:pPr>
    <w:rPr>
      <w:rFonts w:ascii="Courier New" w:cs="Courier New" w:hAnsi="Courier New"/>
      <w:lang w:eastAsia="ar-SA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35091-60AC-4B59-AEB9-9D8A0E10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Words>195</Words>
  <Pages>1</Pages>
  <Characters>1174</Characters>
  <Application>WPS Office</Application>
  <DocSecurity>0</DocSecurity>
  <Paragraphs>79</Paragraphs>
  <ScaleCrop>false</ScaleCrop>
  <Company>domácí</Company>
  <LinksUpToDate>false</LinksUpToDate>
  <CharactersWithSpaces>1731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2022-05-31T07:23:00Z</dcterms:created>
  <dc:creator>.</dc:creator>
  <lastModifiedBy>2201117TY</lastModifiedBy>
  <lastPrinted>2022-05-31T07:55:00Z</lastPrinted>
  <dcterms:modified xsi:type="dcterms:W3CDTF">2022-09-01T20:20:16Z</dcterms:modified>
  <revision>24</revision>
  <dc:title>PKH 1589, 436 01 LITVÍNOV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0ef6353ef17b411c90000a78879da4c7</vt:lpwstr>
  </property>
</Properties>
</file>